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4EB2" w14:textId="77777777" w:rsidR="000A066F" w:rsidRPr="00C76C50" w:rsidRDefault="00C76C50" w:rsidP="000A066F">
      <w:pPr>
        <w:rPr>
          <w:b/>
          <w:color w:val="800000"/>
          <w:sz w:val="22"/>
          <w:szCs w:val="22"/>
          <w:lang w:val="sk-SK"/>
        </w:rPr>
      </w:pPr>
      <w:r w:rsidRPr="00C76C50">
        <w:rPr>
          <w:b/>
          <w:color w:val="800000"/>
          <w:sz w:val="22"/>
          <w:szCs w:val="22"/>
          <w:lang w:val="sk-SK"/>
        </w:rPr>
        <w:t>TLAČOVÁ SPRÁVA</w:t>
      </w:r>
    </w:p>
    <w:p w14:paraId="53BCC08E" w14:textId="77777777" w:rsidR="000A066F" w:rsidRPr="00C76C50" w:rsidRDefault="000A066F" w:rsidP="000A066F">
      <w:pPr>
        <w:rPr>
          <w:b/>
          <w:color w:val="800000"/>
          <w:sz w:val="22"/>
          <w:szCs w:val="22"/>
          <w:lang w:val="sk-SK"/>
        </w:rPr>
      </w:pPr>
    </w:p>
    <w:p w14:paraId="0B33E2C7" w14:textId="09806CEB" w:rsidR="00C76C50" w:rsidRDefault="00C76C50" w:rsidP="000A066F">
      <w:pPr>
        <w:rPr>
          <w:b/>
          <w:bCs/>
          <w:color w:val="800000"/>
          <w:lang w:val="sk-SK"/>
        </w:rPr>
      </w:pPr>
      <w:r w:rsidRPr="00C76C50">
        <w:rPr>
          <w:b/>
          <w:bCs/>
          <w:color w:val="800000"/>
          <w:lang w:val="sk-SK"/>
        </w:rPr>
        <w:t>P3</w:t>
      </w:r>
      <w:r w:rsidR="004C1917">
        <w:rPr>
          <w:b/>
          <w:bCs/>
          <w:color w:val="800000"/>
          <w:lang w:val="sk-SK"/>
        </w:rPr>
        <w:t xml:space="preserve"> Logistic Parks</w:t>
      </w:r>
      <w:r w:rsidRPr="00C76C50">
        <w:rPr>
          <w:b/>
          <w:bCs/>
          <w:color w:val="800000"/>
          <w:lang w:val="sk-SK"/>
        </w:rPr>
        <w:t xml:space="preserve"> podpísala so spoločnosťou Carrefour zmluvu o prenájme rozsiahleho logistického centra </w:t>
      </w:r>
      <w:r>
        <w:rPr>
          <w:b/>
          <w:bCs/>
          <w:color w:val="800000"/>
          <w:lang w:val="sk-SK"/>
        </w:rPr>
        <w:t>s</w:t>
      </w:r>
      <w:r w:rsidR="00CE7C72">
        <w:rPr>
          <w:b/>
          <w:bCs/>
          <w:color w:val="800000"/>
          <w:lang w:val="sk-SK"/>
        </w:rPr>
        <w:t> </w:t>
      </w:r>
      <w:r w:rsidRPr="00C76C50">
        <w:rPr>
          <w:b/>
          <w:bCs/>
          <w:color w:val="800000"/>
          <w:lang w:val="sk-SK"/>
        </w:rPr>
        <w:t>rozloh</w:t>
      </w:r>
      <w:r>
        <w:rPr>
          <w:b/>
          <w:bCs/>
          <w:color w:val="800000"/>
          <w:lang w:val="sk-SK"/>
        </w:rPr>
        <w:t>ou</w:t>
      </w:r>
      <w:r w:rsidRPr="00C76C50">
        <w:rPr>
          <w:b/>
          <w:bCs/>
          <w:color w:val="800000"/>
          <w:lang w:val="sk-SK"/>
        </w:rPr>
        <w:t xml:space="preserve"> viac ako 81 000 m</w:t>
      </w:r>
      <w:r w:rsidRPr="00C76C50">
        <w:rPr>
          <w:b/>
          <w:bCs/>
          <w:color w:val="800000"/>
          <w:vertAlign w:val="superscript"/>
          <w:lang w:val="sk-SK"/>
        </w:rPr>
        <w:t>2</w:t>
      </w:r>
    </w:p>
    <w:p w14:paraId="608FA1F1" w14:textId="77777777" w:rsidR="000A066F" w:rsidRPr="00C76C50" w:rsidRDefault="000A066F" w:rsidP="000A066F">
      <w:pPr>
        <w:rPr>
          <w:b/>
          <w:bCs/>
          <w:color w:val="404040"/>
          <w:sz w:val="22"/>
          <w:highlight w:val="yellow"/>
          <w:lang w:val="sk-SK"/>
        </w:rPr>
      </w:pPr>
    </w:p>
    <w:p w14:paraId="0144767E" w14:textId="7B3E9073" w:rsidR="00C76C50" w:rsidRPr="00C76C50" w:rsidRDefault="00CE7C72" w:rsidP="00C76C50">
      <w:pPr>
        <w:rPr>
          <w:rFonts w:cs="Calibri"/>
          <w:bCs/>
          <w:color w:val="404040"/>
          <w:sz w:val="22"/>
          <w:szCs w:val="22"/>
          <w:lang w:val="sk-SK"/>
        </w:rPr>
      </w:pPr>
      <w:r w:rsidRPr="00200441">
        <w:rPr>
          <w:rFonts w:cs="Calibri"/>
          <w:b/>
          <w:bCs/>
          <w:color w:val="404040"/>
          <w:sz w:val="22"/>
          <w:szCs w:val="22"/>
          <w:lang w:val="sk-SK"/>
        </w:rPr>
        <w:t>Bratislava</w:t>
      </w:r>
      <w:r w:rsidR="00C76C50" w:rsidRPr="00200441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r w:rsidR="008D0DCB">
        <w:rPr>
          <w:rFonts w:cs="Calibri"/>
          <w:b/>
          <w:bCs/>
          <w:color w:val="404040"/>
          <w:sz w:val="22"/>
          <w:szCs w:val="22"/>
          <w:lang w:val="sk-SK"/>
        </w:rPr>
        <w:t>18</w:t>
      </w:r>
      <w:r w:rsidR="00C76C50" w:rsidRPr="00200441">
        <w:rPr>
          <w:rFonts w:cs="Calibri"/>
          <w:b/>
          <w:bCs/>
          <w:color w:val="404040"/>
          <w:sz w:val="22"/>
          <w:szCs w:val="22"/>
          <w:lang w:val="sk-SK"/>
        </w:rPr>
        <w:t>. novembra 2015</w:t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 xml:space="preserve"> – Krátko po uverejnení správy o tom, že P3</w:t>
      </w:r>
      <w:r w:rsidR="004C1917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>Logistic Parks</w:t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>, vlastník, developer a správca priemyselných nehnuteľností s celoeurópskou pôsobnosťou, vo svojom parku P3 Bucharest v Rumunsku vybuduje na špekulatívnej báze sklad s výmerou 28 000 m</w:t>
      </w:r>
      <w:r w:rsidR="00C76C50" w:rsidRPr="00200441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>, spoločnosť oznámila, že spomínanú budovu už prenajala. Na základe tejto transakcie vznikne v uvedenom parku logistický areál s</w:t>
      </w:r>
      <w:r w:rsidR="008D0DCB">
        <w:rPr>
          <w:rFonts w:cs="Calibri"/>
          <w:bCs/>
          <w:color w:val="404040"/>
          <w:sz w:val="22"/>
          <w:szCs w:val="22"/>
          <w:lang w:val="sk-SK"/>
        </w:rPr>
        <w:t> </w:t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>rozlohou</w:t>
      </w:r>
      <w:r w:rsidR="008D0DC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8D0DCB">
        <w:rPr>
          <w:rFonts w:cs="Calibri"/>
          <w:bCs/>
          <w:color w:val="404040"/>
          <w:sz w:val="22"/>
          <w:szCs w:val="22"/>
          <w:lang w:val="sk-SK"/>
        </w:rPr>
        <w:br/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>81 000 m</w:t>
      </w:r>
      <w:r w:rsidR="00C76C50" w:rsidRPr="00200441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="00C76C50" w:rsidRPr="00200441">
        <w:rPr>
          <w:rFonts w:cs="Calibri"/>
          <w:bCs/>
          <w:color w:val="404040"/>
          <w:sz w:val="22"/>
          <w:szCs w:val="22"/>
          <w:lang w:val="sk-SK"/>
        </w:rPr>
        <w:t xml:space="preserve"> pre najväčšieho európskeho maloobchodného predajcu – spoločnosť Carrefour.</w:t>
      </w:r>
    </w:p>
    <w:p w14:paraId="3A826E61" w14:textId="77777777" w:rsidR="000A066F" w:rsidRPr="00C76C50" w:rsidRDefault="000A066F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38D15854" w14:textId="3924BA89" w:rsidR="00C76C50" w:rsidRDefault="00C76C50" w:rsidP="00C76C50">
      <w:pPr>
        <w:rPr>
          <w:rFonts w:cs="Calibri"/>
          <w:bCs/>
          <w:color w:val="404040"/>
          <w:sz w:val="22"/>
          <w:szCs w:val="22"/>
          <w:lang w:val="sk-SK"/>
        </w:rPr>
      </w:pPr>
      <w:r w:rsidRPr="00C76C50">
        <w:rPr>
          <w:rFonts w:cs="Calibri"/>
          <w:bCs/>
          <w:color w:val="404040"/>
          <w:sz w:val="22"/>
          <w:szCs w:val="22"/>
          <w:lang w:val="sk-SK"/>
        </w:rPr>
        <w:t>Súčasťou nového komplexu spoločnosti Carrefour bude jedna existujúc</w:t>
      </w:r>
      <w:r w:rsidR="002C3F46">
        <w:rPr>
          <w:rFonts w:cs="Calibri"/>
          <w:bCs/>
          <w:color w:val="404040"/>
          <w:sz w:val="22"/>
          <w:szCs w:val="22"/>
          <w:lang w:val="sk-SK"/>
        </w:rPr>
        <w:t>a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budova a jeden chladený sklad vybudovaný na mieru (tzv. BTS </w:t>
      </w:r>
      <w:r w:rsidR="00CE7C72"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Build-To-Suit) </w:t>
      </w:r>
      <w:r>
        <w:rPr>
          <w:rFonts w:cs="Calibri"/>
          <w:bCs/>
          <w:color w:val="404040"/>
          <w:sz w:val="22"/>
          <w:szCs w:val="22"/>
          <w:lang w:val="sk-SK"/>
        </w:rPr>
        <w:t>s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​​rozloh</w:t>
      </w:r>
      <w:r>
        <w:rPr>
          <w:rFonts w:cs="Calibri"/>
          <w:bCs/>
          <w:color w:val="404040"/>
          <w:sz w:val="22"/>
          <w:szCs w:val="22"/>
          <w:lang w:val="sk-SK"/>
        </w:rPr>
        <w:t>ou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15 000 m</w:t>
      </w:r>
      <w:r w:rsidRPr="00C76C50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. Pre spoločnosť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>
        <w:rPr>
          <w:rFonts w:cs="Calibri"/>
          <w:bCs/>
          <w:color w:val="404040"/>
          <w:sz w:val="22"/>
          <w:szCs w:val="22"/>
          <w:lang w:val="sk-SK"/>
        </w:rPr>
        <w:t>ide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v Rumunsku o</w:t>
      </w:r>
      <w:r w:rsidR="00CE7C72">
        <w:rPr>
          <w:rFonts w:cs="Calibri"/>
          <w:bCs/>
          <w:color w:val="404040"/>
          <w:sz w:val="22"/>
          <w:szCs w:val="22"/>
          <w:lang w:val="sk-SK"/>
        </w:rPr>
        <w:t> 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prvú výstavbu na mieru od chvíle, kedy park P3 Bucharest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najväčší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priemyselný park v krajine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 xml:space="preserve"> začiatkom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C76C50">
        <w:rPr>
          <w:rFonts w:cs="Calibri"/>
          <w:bCs/>
          <w:color w:val="404040"/>
          <w:sz w:val="22"/>
          <w:szCs w:val="22"/>
          <w:lang w:val="sk-SK"/>
        </w:rPr>
        <w:t>tohto roku kúpila.</w:t>
      </w:r>
    </w:p>
    <w:p w14:paraId="523672B2" w14:textId="77777777" w:rsidR="00C76C50" w:rsidRPr="00C76C50" w:rsidRDefault="00C76C50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0DDAEAE3" w14:textId="77893E0C" w:rsidR="00234A1F" w:rsidRPr="00234A1F" w:rsidRDefault="00234A1F" w:rsidP="00234A1F">
      <w:pPr>
        <w:rPr>
          <w:rFonts w:cs="Calibri"/>
          <w:bCs/>
          <w:color w:val="404040"/>
          <w:sz w:val="22"/>
          <w:szCs w:val="22"/>
          <w:lang w:val="sk-SK"/>
        </w:rPr>
      </w:pP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Táto nová výstavba rozšíri celkové portfólio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v Rumunsku, ktoré už zahŕňa osem skladov na približne 270</w:t>
      </w:r>
      <w:r w:rsidR="00CE7C72">
        <w:rPr>
          <w:rFonts w:cs="Calibri"/>
          <w:bCs/>
          <w:color w:val="404040"/>
          <w:sz w:val="22"/>
          <w:szCs w:val="22"/>
          <w:lang w:val="sk-SK"/>
        </w:rPr>
        <w:t> 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000 m</w:t>
      </w:r>
      <w:r w:rsidRPr="00234A1F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.</w:t>
      </w:r>
    </w:p>
    <w:p w14:paraId="2271C03D" w14:textId="77777777" w:rsidR="00234A1F" w:rsidRPr="00234A1F" w:rsidRDefault="00234A1F" w:rsidP="00234A1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00E8995D" w14:textId="22665DFD" w:rsidR="00234A1F" w:rsidRPr="00234A1F" w:rsidRDefault="00234A1F" w:rsidP="00234A1F">
      <w:pPr>
        <w:rPr>
          <w:rFonts w:cs="Calibri"/>
          <w:bCs/>
          <w:color w:val="404040"/>
          <w:sz w:val="22"/>
          <w:szCs w:val="22"/>
          <w:lang w:val="sk-SK"/>
        </w:rPr>
      </w:pPr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 xml:space="preserve">Ian Worboys, generálny riaditeľ spoločnosti </w:t>
      </w:r>
      <w:r w:rsidR="004C1917" w:rsidRPr="004C1917">
        <w:rPr>
          <w:rFonts w:cs="Calibri"/>
          <w:b/>
          <w:bCs/>
          <w:color w:val="404040"/>
          <w:sz w:val="22"/>
          <w:szCs w:val="22"/>
          <w:lang w:val="sk-SK"/>
        </w:rPr>
        <w:t>P3 Logistic Parks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, vo vyjadrení k tejto správe uviedol: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Bude to tento rok jeden z našich najväčších kontraktov v strednej a východnej Európe. Získať ta</w:t>
      </w:r>
      <w:r>
        <w:rPr>
          <w:rFonts w:cs="Calibri"/>
          <w:bCs/>
          <w:color w:val="404040"/>
          <w:sz w:val="22"/>
          <w:szCs w:val="22"/>
          <w:lang w:val="sk-SK"/>
        </w:rPr>
        <w:t>kého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kvalitného nájomcu, akým je spoločnosť Carrefour, pre tak</w:t>
      </w:r>
      <w:r>
        <w:rPr>
          <w:rFonts w:cs="Calibri"/>
          <w:bCs/>
          <w:color w:val="404040"/>
          <w:sz w:val="22"/>
          <w:szCs w:val="22"/>
          <w:lang w:val="sk-SK"/>
        </w:rPr>
        <w:t>ý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rozsiahly a významný nový projekt, vnímame v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ako veľký úspech. Rumunsko je rýchlo rastúcim trhom a my máme v tejto krajine veľké ambície. Je skvelé, že po akvizícii parku P3 Bucharest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najväčšieho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priemyselného parku v krajine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začiatkom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tohto roka, sa teraz môžeme posunúť vpred a realizovať tu náš prvý projekt výstavby na mieru. Tento obchod svedčí o existencii mnohých silných stránok tohto parku z hľadiska umiestnenia a vybavenosti, ako aj o schopnosti spoločnosti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poskytovať budovy na základe potrieb našich zákazníkov rýchlo a</w:t>
      </w:r>
      <w:r w:rsidR="002C3F46">
        <w:rPr>
          <w:rFonts w:cs="Calibri"/>
          <w:bCs/>
          <w:color w:val="404040"/>
          <w:sz w:val="22"/>
          <w:szCs w:val="22"/>
          <w:lang w:val="sk-SK"/>
        </w:rPr>
        <w:t xml:space="preserve"> z hľadiska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>nákladov efektívnym spôsobom. Spoločnosť Carrefour je jedným z našich klientov vo Francúzsku a nás teší, že s ňou teraz budeme mô</w:t>
      </w:r>
      <w:r>
        <w:rPr>
          <w:rFonts w:cs="Calibri"/>
          <w:bCs/>
          <w:color w:val="404040"/>
          <w:sz w:val="22"/>
          <w:szCs w:val="22"/>
          <w:lang w:val="sk-SK"/>
        </w:rPr>
        <w:t>cť spolupracovať aj v Rumunsku.“</w:t>
      </w:r>
      <w:bookmarkStart w:id="0" w:name="_GoBack"/>
      <w:bookmarkEnd w:id="0"/>
    </w:p>
    <w:p w14:paraId="765036E9" w14:textId="77777777" w:rsidR="00234A1F" w:rsidRPr="00234A1F" w:rsidRDefault="00234A1F" w:rsidP="00234A1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7E577656" w14:textId="77777777" w:rsidR="00234A1F" w:rsidRDefault="00234A1F" w:rsidP="00234A1F">
      <w:pPr>
        <w:rPr>
          <w:rFonts w:cs="Calibri"/>
          <w:bCs/>
          <w:color w:val="404040"/>
          <w:sz w:val="22"/>
          <w:szCs w:val="22"/>
          <w:lang w:val="sk-SK"/>
        </w:rPr>
      </w:pPr>
      <w:r w:rsidRPr="00234A1F">
        <w:rPr>
          <w:rFonts w:cs="Calibri"/>
          <w:bCs/>
          <w:color w:val="404040"/>
          <w:sz w:val="22"/>
          <w:szCs w:val="22"/>
          <w:lang w:val="sk-SK"/>
        </w:rPr>
        <w:t>Výstavba sa začala tento rok v októbri a celý logistický komplex sa bude postupne dokončovať v období od apríla do októbra 2016.</w:t>
      </w:r>
    </w:p>
    <w:p w14:paraId="7C63C9FC" w14:textId="77777777" w:rsidR="000A066F" w:rsidRPr="00C76C50" w:rsidRDefault="000A066F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1B48B56C" w14:textId="2A388EAE" w:rsidR="00234A1F" w:rsidRPr="00234A1F" w:rsidRDefault="00234A1F" w:rsidP="00234A1F">
      <w:pPr>
        <w:suppressAutoHyphens w:val="0"/>
        <w:rPr>
          <w:rFonts w:cs="Calibri"/>
          <w:bCs/>
          <w:color w:val="404040"/>
          <w:sz w:val="22"/>
          <w:szCs w:val="22"/>
          <w:lang w:val="sk-SK"/>
        </w:rPr>
      </w:pPr>
      <w:proofErr w:type="spellStart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>Anc</w:t>
      </w:r>
      <w:r w:rsidR="000745B2">
        <w:rPr>
          <w:rFonts w:cs="Calibri"/>
          <w:b/>
          <w:bCs/>
          <w:color w:val="404040"/>
          <w:sz w:val="22"/>
          <w:szCs w:val="22"/>
          <w:lang w:val="sk-SK"/>
        </w:rPr>
        <w:t>a</w:t>
      </w:r>
      <w:proofErr w:type="spellEnd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>Damour</w:t>
      </w:r>
      <w:proofErr w:type="spellEnd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 xml:space="preserve">, </w:t>
      </w:r>
      <w:proofErr w:type="spellStart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>Director</w:t>
      </w:r>
      <w:proofErr w:type="spellEnd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>Property</w:t>
      </w:r>
      <w:proofErr w:type="spellEnd"/>
      <w:r w:rsidRPr="00234A1F">
        <w:rPr>
          <w:rFonts w:cs="Calibri"/>
          <w:b/>
          <w:bCs/>
          <w:color w:val="404040"/>
          <w:sz w:val="22"/>
          <w:szCs w:val="22"/>
          <w:lang w:val="sk-SK"/>
        </w:rPr>
        <w:t xml:space="preserve"> &amp; Corporate Affairs spoločnosti Carrefour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, uviedla: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Úspech nášho podnikania so sebou priniesol potrebu rozšíriť náš sklad v severozápadnej časti Bukurešti. Nami využívané priestory sme plánovali zdvojnásobiť výstavbou na mieru podľa vysokých environmentálnych štandardov, ktorými by sme naše potreby uspokojili teraz aj </w:t>
      </w:r>
      <w:r>
        <w:rPr>
          <w:rFonts w:cs="Calibri"/>
          <w:bCs/>
          <w:color w:val="404040"/>
          <w:sz w:val="22"/>
          <w:szCs w:val="22"/>
          <w:lang w:val="sk-SK"/>
        </w:rPr>
        <w:t>v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budúcnosti.</w:t>
      </w:r>
    </w:p>
    <w:p w14:paraId="4F64A0DD" w14:textId="77777777" w:rsidR="000A066F" w:rsidRPr="00C76C50" w:rsidRDefault="000A066F" w:rsidP="000A066F">
      <w:pPr>
        <w:suppressAutoHyphens w:val="0"/>
        <w:rPr>
          <w:rFonts w:cs="Calibri"/>
          <w:bCs/>
          <w:color w:val="404040"/>
          <w:sz w:val="22"/>
          <w:szCs w:val="22"/>
          <w:lang w:val="sk-SK"/>
        </w:rPr>
      </w:pPr>
    </w:p>
    <w:p w14:paraId="627C13B4" w14:textId="7EA2CAD0" w:rsidR="000A066F" w:rsidRDefault="00234A1F" w:rsidP="00234A1F">
      <w:pPr>
        <w:suppressAutoHyphens w:val="0"/>
        <w:rPr>
          <w:rFonts w:cs="Calibri"/>
          <w:bCs/>
          <w:color w:val="404040"/>
          <w:sz w:val="22"/>
          <w:szCs w:val="22"/>
          <w:lang w:val="sk-SK"/>
        </w:rPr>
      </w:pPr>
      <w:r w:rsidRPr="00234A1F">
        <w:rPr>
          <w:rFonts w:cs="Calibri"/>
          <w:bCs/>
          <w:color w:val="404040"/>
          <w:sz w:val="22"/>
          <w:szCs w:val="22"/>
          <w:lang w:val="sk-SK"/>
        </w:rPr>
        <w:t>Vzhľadom k našim veľmi špecifickým požiadavkám a prísn</w:t>
      </w:r>
      <w:r>
        <w:rPr>
          <w:rFonts w:cs="Calibri"/>
          <w:bCs/>
          <w:color w:val="404040"/>
          <w:sz w:val="22"/>
          <w:szCs w:val="22"/>
          <w:lang w:val="sk-SK"/>
        </w:rPr>
        <w:t>emu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časov</w:t>
      </w:r>
      <w:r>
        <w:rPr>
          <w:rFonts w:cs="Calibri"/>
          <w:bCs/>
          <w:color w:val="404040"/>
          <w:sz w:val="22"/>
          <w:szCs w:val="22"/>
          <w:lang w:val="sk-SK"/>
        </w:rPr>
        <w:t>ému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plán</w:t>
      </w:r>
      <w:r>
        <w:rPr>
          <w:rFonts w:cs="Calibri"/>
          <w:bCs/>
          <w:color w:val="404040"/>
          <w:sz w:val="22"/>
          <w:szCs w:val="22"/>
          <w:lang w:val="sk-SK"/>
        </w:rPr>
        <w:t>u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>
        <w:rPr>
          <w:rFonts w:cs="Calibri"/>
          <w:bCs/>
          <w:color w:val="404040"/>
          <w:sz w:val="22"/>
          <w:szCs w:val="22"/>
          <w:lang w:val="sk-SK"/>
        </w:rPr>
        <w:t>išlo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o zložitý projekt a ja by som </w:t>
      </w:r>
      <w:r w:rsidR="00224CA1">
        <w:rPr>
          <w:rFonts w:cs="Calibri"/>
          <w:bCs/>
          <w:color w:val="404040"/>
          <w:sz w:val="22"/>
          <w:szCs w:val="22"/>
          <w:lang w:val="sk-SK"/>
        </w:rPr>
        <w:t xml:space="preserve">sa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všetkým našim kolegom, ktorí sa ho zúčastnili, vrátane našich právnikov z kancelárie Tuca Zbarcea &amp; Asociatii, konzultantom zo spoločnosti CBRE aj našim partnerom v spoločnosti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="00224CA1" w:rsidRPr="00234A1F">
        <w:rPr>
          <w:rFonts w:cs="Calibri"/>
          <w:bCs/>
          <w:color w:val="404040"/>
          <w:sz w:val="22"/>
          <w:szCs w:val="22"/>
          <w:lang w:val="sk-SK"/>
        </w:rPr>
        <w:t xml:space="preserve">rada </w:t>
      </w:r>
      <w:r w:rsidR="00224CA1">
        <w:rPr>
          <w:rFonts w:cs="Calibri"/>
          <w:bCs/>
          <w:color w:val="404040"/>
          <w:sz w:val="22"/>
          <w:szCs w:val="22"/>
          <w:lang w:val="sk-SK"/>
        </w:rPr>
        <w:t xml:space="preserve">poďakovala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za fantastickú prácu, ktorú pri realizovaní tohto projektu odviedli. So spoločnosťou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sme sa rozhodli spolupracovať pre jej odbornú spôsobilosť v oblasti logistiky, schopnosť plniť naše 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lastRenderedPageBreak/>
        <w:t>očakávania aj pracovať v obsadenom areáli, vďaka čomu mohla naša prevádzkov</w:t>
      </w:r>
      <w:r w:rsidR="00224CA1">
        <w:rPr>
          <w:rFonts w:cs="Calibri"/>
          <w:bCs/>
          <w:color w:val="404040"/>
          <w:sz w:val="22"/>
          <w:szCs w:val="22"/>
          <w:lang w:val="sk-SK"/>
        </w:rPr>
        <w:t>á</w:t>
      </w:r>
      <w:r w:rsidRPr="00234A1F">
        <w:rPr>
          <w:rFonts w:cs="Calibri"/>
          <w:bCs/>
          <w:color w:val="404040"/>
          <w:sz w:val="22"/>
          <w:szCs w:val="22"/>
          <w:lang w:val="sk-SK"/>
        </w:rPr>
        <w:t xml:space="preserve"> činnosť </w:t>
      </w:r>
      <w:r w:rsidR="00224CA1">
        <w:rPr>
          <w:rFonts w:cs="Calibri"/>
          <w:bCs/>
          <w:color w:val="404040"/>
          <w:sz w:val="22"/>
          <w:szCs w:val="22"/>
          <w:lang w:val="sk-SK"/>
        </w:rPr>
        <w:t>v priebehu výstavby pokračovať.“</w:t>
      </w:r>
    </w:p>
    <w:p w14:paraId="4D0CBCED" w14:textId="77777777" w:rsidR="00234A1F" w:rsidRPr="00C76C50" w:rsidRDefault="00234A1F" w:rsidP="00234A1F">
      <w:pPr>
        <w:suppressAutoHyphens w:val="0"/>
        <w:rPr>
          <w:rFonts w:cs="Calibri"/>
          <w:bCs/>
          <w:color w:val="404040"/>
          <w:sz w:val="22"/>
          <w:szCs w:val="22"/>
          <w:lang w:val="sk-SK"/>
        </w:rPr>
      </w:pPr>
    </w:p>
    <w:p w14:paraId="7CB8B672" w14:textId="5F7C423F" w:rsidR="000A066F" w:rsidRDefault="00EC32BF" w:rsidP="00EC32BF">
      <w:pPr>
        <w:rPr>
          <w:rFonts w:cs="Calibri"/>
          <w:bCs/>
          <w:color w:val="404040"/>
          <w:sz w:val="22"/>
          <w:szCs w:val="22"/>
          <w:lang w:val="sk-SK"/>
        </w:rPr>
      </w:pP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Haly budú spĺňať štandardy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>novej generácie</w:t>
      </w:r>
      <w:r>
        <w:rPr>
          <w:rFonts w:cs="Calibri"/>
          <w:bCs/>
          <w:color w:val="404040"/>
          <w:sz w:val="22"/>
          <w:szCs w:val="22"/>
          <w:lang w:val="sk-SK"/>
        </w:rPr>
        <w:t>“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 spoločnosti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>P3 Logistic Parks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, budú vybudované v súlade s prísnymi európskymi kritériami pre posudzovanie vplyvu na životné prostredie a budú prinášať prevádzkové úspory. V spolupráci so spoločnosťou Carrefour teraz </w:t>
      </w:r>
      <w:r w:rsidR="004C1917" w:rsidRPr="004C1917">
        <w:rPr>
          <w:rFonts w:cs="Calibri"/>
          <w:bCs/>
          <w:color w:val="404040"/>
          <w:sz w:val="22"/>
          <w:szCs w:val="22"/>
          <w:lang w:val="sk-SK"/>
        </w:rPr>
        <w:t xml:space="preserve">P3 Logistic Parks 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>vyberá najrôznejšie moderné technologické riešenia, ktoré to umožn</w:t>
      </w:r>
      <w:r>
        <w:rPr>
          <w:rFonts w:cs="Calibri"/>
          <w:bCs/>
          <w:color w:val="404040"/>
          <w:sz w:val="22"/>
          <w:szCs w:val="22"/>
          <w:lang w:val="sk-SK"/>
        </w:rPr>
        <w:t>ia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>, vrátane LED osvetlenia, systému pre riadenie zásobovania vodou, energeticky úsporného oplášteni</w:t>
      </w:r>
      <w:r w:rsidR="00CE7C72">
        <w:rPr>
          <w:rFonts w:cs="Calibri"/>
          <w:bCs/>
          <w:color w:val="404040"/>
          <w:sz w:val="22"/>
          <w:szCs w:val="22"/>
          <w:lang w:val="sk-SK"/>
        </w:rPr>
        <w:t>a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 (v prípade chladeného skladu </w:t>
      </w:r>
      <w:r>
        <w:rPr>
          <w:rFonts w:cs="Calibri"/>
          <w:bCs/>
          <w:color w:val="404040"/>
          <w:sz w:val="22"/>
          <w:szCs w:val="22"/>
          <w:lang w:val="sk-SK"/>
        </w:rPr>
        <w:t>pôjde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 o vzduchotesné opláštenie) a komplexného systému správy budov. Novo vybudované priestory </w:t>
      </w:r>
      <w:r w:rsidR="0073740A">
        <w:rPr>
          <w:rFonts w:cs="Calibri"/>
          <w:bCs/>
          <w:color w:val="404040"/>
          <w:sz w:val="22"/>
          <w:szCs w:val="22"/>
          <w:lang w:val="sk-SK"/>
        </w:rPr>
        <w:t>budú zároveň navrhnuté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 xml:space="preserve"> tak, aby podporovali meniace sa potreby spoločnosti Carrefour prostredníctvom</w:t>
      </w:r>
      <w:r w:rsidR="009172CA">
        <w:rPr>
          <w:rFonts w:cs="Calibri"/>
          <w:bCs/>
          <w:color w:val="404040"/>
          <w:sz w:val="22"/>
          <w:szCs w:val="22"/>
          <w:lang w:val="sk-SK"/>
        </w:rPr>
        <w:t xml:space="preserve"> možnosti ďalšie</w:t>
      </w:r>
      <w:r w:rsidR="00CE7C72">
        <w:rPr>
          <w:rFonts w:cs="Calibri"/>
          <w:bCs/>
          <w:color w:val="404040"/>
          <w:sz w:val="22"/>
          <w:szCs w:val="22"/>
          <w:lang w:val="sk-SK"/>
        </w:rPr>
        <w:t>h</w:t>
      </w:r>
      <w:r w:rsidR="009172CA">
        <w:rPr>
          <w:rFonts w:cs="Calibri"/>
          <w:bCs/>
          <w:color w:val="404040"/>
          <w:sz w:val="22"/>
          <w:szCs w:val="22"/>
          <w:lang w:val="sk-SK"/>
        </w:rPr>
        <w:t xml:space="preserve">o 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>rozšíreni</w:t>
      </w:r>
      <w:r w:rsidR="009172CA">
        <w:rPr>
          <w:rFonts w:cs="Calibri"/>
          <w:bCs/>
          <w:color w:val="404040"/>
          <w:sz w:val="22"/>
          <w:szCs w:val="22"/>
          <w:lang w:val="sk-SK"/>
        </w:rPr>
        <w:t>a</w:t>
      </w:r>
      <w:r w:rsidRPr="00EC32BF">
        <w:rPr>
          <w:rFonts w:cs="Calibri"/>
          <w:bCs/>
          <w:color w:val="404040"/>
          <w:sz w:val="22"/>
          <w:szCs w:val="22"/>
          <w:lang w:val="sk-SK"/>
        </w:rPr>
        <w:t>.</w:t>
      </w:r>
    </w:p>
    <w:p w14:paraId="553C3843" w14:textId="77777777" w:rsidR="000A066F" w:rsidRPr="00C76C50" w:rsidRDefault="000A066F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02473E22" w14:textId="77777777" w:rsidR="00F229C3" w:rsidRPr="00F229C3" w:rsidRDefault="00F229C3" w:rsidP="00F229C3">
      <w:pPr>
        <w:rPr>
          <w:rFonts w:cs="Calibri"/>
          <w:bCs/>
          <w:color w:val="404040"/>
          <w:sz w:val="22"/>
          <w:szCs w:val="22"/>
          <w:lang w:val="sk-SK"/>
        </w:rPr>
      </w:pPr>
      <w:r>
        <w:rPr>
          <w:rFonts w:cs="Calibri"/>
          <w:bCs/>
          <w:color w:val="404040"/>
          <w:sz w:val="22"/>
          <w:szCs w:val="22"/>
          <w:lang w:val="sk-SK"/>
        </w:rPr>
        <w:t>S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>trategicky situovaný park P3 Bucharest leží približne 13 km západne od centra Bukurešti a je plne obsadený. Disponuje však pozemk</w:t>
      </w:r>
      <w:r>
        <w:rPr>
          <w:rFonts w:cs="Calibri"/>
          <w:bCs/>
          <w:color w:val="404040"/>
          <w:sz w:val="22"/>
          <w:szCs w:val="22"/>
          <w:lang w:val="sk-SK"/>
        </w:rPr>
        <w:t>ami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>, na ktorých možno vystavať ďalších približne 114 000 m</w:t>
      </w:r>
      <w:r w:rsidRPr="00F229C3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priemyselných plôch v jednotkách </w:t>
      </w:r>
      <w:r>
        <w:rPr>
          <w:rFonts w:cs="Calibri"/>
          <w:bCs/>
          <w:color w:val="404040"/>
          <w:sz w:val="22"/>
          <w:szCs w:val="22"/>
          <w:lang w:val="sk-SK"/>
        </w:rPr>
        <w:t>s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veľkos</w:t>
      </w:r>
      <w:r>
        <w:rPr>
          <w:rFonts w:cs="Calibri"/>
          <w:bCs/>
          <w:color w:val="404040"/>
          <w:sz w:val="22"/>
          <w:szCs w:val="22"/>
          <w:lang w:val="sk-SK"/>
        </w:rPr>
        <w:t>ťou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4 000 m</w:t>
      </w:r>
      <w:r w:rsidRPr="00F229C3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až 40 000 m</w:t>
      </w:r>
      <w:r w:rsidRPr="00F229C3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>.</w:t>
      </w:r>
    </w:p>
    <w:p w14:paraId="02273F06" w14:textId="77777777" w:rsidR="00F229C3" w:rsidRPr="00F229C3" w:rsidRDefault="00F229C3" w:rsidP="00F229C3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36A98427" w14:textId="4719EE91" w:rsidR="00F229C3" w:rsidRPr="00F229C3" w:rsidRDefault="00F229C3" w:rsidP="00F229C3">
      <w:pPr>
        <w:rPr>
          <w:rFonts w:cs="Calibri"/>
          <w:bCs/>
          <w:color w:val="404040"/>
          <w:sz w:val="22"/>
          <w:szCs w:val="22"/>
          <w:lang w:val="sk-SK"/>
        </w:rPr>
      </w:pP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Park P3 Bucharest </w:t>
      </w:r>
      <w:r>
        <w:rPr>
          <w:rFonts w:cs="Calibri"/>
          <w:bCs/>
          <w:color w:val="404040"/>
          <w:sz w:val="22"/>
          <w:szCs w:val="22"/>
          <w:lang w:val="sk-SK"/>
        </w:rPr>
        <w:t>umožňuje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priamy nájazd na novú diaľnicu A1 a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>z tejto diaľnice je dobre viditeľný. Park sa nachádza v blízkosti bukureštského okruhu, ktorý za</w:t>
      </w:r>
      <w:r>
        <w:rPr>
          <w:rFonts w:cs="Calibri"/>
          <w:bCs/>
          <w:color w:val="404040"/>
          <w:sz w:val="22"/>
          <w:szCs w:val="22"/>
          <w:lang w:val="sk-SK"/>
        </w:rPr>
        <w:t>b</w:t>
      </w:r>
      <w:r w:rsidR="009172CA">
        <w:rPr>
          <w:rFonts w:cs="Calibri"/>
          <w:bCs/>
          <w:color w:val="404040"/>
          <w:sz w:val="22"/>
          <w:szCs w:val="22"/>
          <w:lang w:val="sk-SK"/>
        </w:rPr>
        <w:t>e</w:t>
      </w:r>
      <w:r>
        <w:rPr>
          <w:rFonts w:cs="Calibri"/>
          <w:bCs/>
          <w:color w:val="404040"/>
          <w:sz w:val="22"/>
          <w:szCs w:val="22"/>
          <w:lang w:val="sk-SK"/>
        </w:rPr>
        <w:t>zpečuje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napojenie na šesť mestských častí Bukurešti, na 22 km vzdialen</w:t>
      </w:r>
      <w:r>
        <w:rPr>
          <w:rFonts w:cs="Calibri"/>
          <w:bCs/>
          <w:color w:val="404040"/>
          <w:sz w:val="22"/>
          <w:szCs w:val="22"/>
          <w:lang w:val="sk-SK"/>
        </w:rPr>
        <w:t>é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medzinárodné letisko Henriho Coanda a na diaľnic</w:t>
      </w:r>
      <w:r w:rsidR="006A3562">
        <w:rPr>
          <w:rFonts w:cs="Calibri"/>
          <w:bCs/>
          <w:color w:val="404040"/>
          <w:sz w:val="22"/>
          <w:szCs w:val="22"/>
          <w:lang w:val="sk-SK"/>
        </w:rPr>
        <w:t>u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A2.</w:t>
      </w:r>
    </w:p>
    <w:p w14:paraId="203F94C5" w14:textId="77777777" w:rsidR="00F229C3" w:rsidRPr="00F229C3" w:rsidRDefault="00F229C3" w:rsidP="00F229C3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423B1C23" w14:textId="24F36205" w:rsidR="00F229C3" w:rsidRPr="00C76C50" w:rsidRDefault="00F229C3" w:rsidP="00F229C3">
      <w:pPr>
        <w:rPr>
          <w:rFonts w:cs="Calibri"/>
          <w:bCs/>
          <w:color w:val="404040"/>
          <w:sz w:val="22"/>
          <w:szCs w:val="22"/>
          <w:lang w:val="sk-SK"/>
        </w:rPr>
      </w:pP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Skupina Carrefour je najväčším maloobchodným predajcom v Európe a štvrtým najväčším maloobchodným predajcom na svete. Zamestnáva viac ako 380 000 osôb 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na 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celom svete. Viac ako 10 800 prevádzok v 34 krajinách vygenerovalo v roku 2014 celkové výnosy vo výške 100,5 miliardy </w:t>
      </w:r>
      <w:r>
        <w:rPr>
          <w:rFonts w:cs="Calibri"/>
          <w:bCs/>
          <w:color w:val="404040"/>
          <w:sz w:val="22"/>
          <w:szCs w:val="22"/>
          <w:lang w:val="sk-SK"/>
        </w:rPr>
        <w:t>eur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. Carrefour Rumunsko má 185 prevádzok (28 hypermarketov, 103 supermarketov, 53 lokálnych predajní a 1 internetový obchod), vykazuje obrat vo výške 1,01 miliardy </w:t>
      </w:r>
      <w:r>
        <w:rPr>
          <w:rFonts w:cs="Calibri"/>
          <w:bCs/>
          <w:color w:val="404040"/>
          <w:sz w:val="22"/>
          <w:szCs w:val="22"/>
          <w:lang w:val="sk-SK"/>
        </w:rPr>
        <w:t>eur</w:t>
      </w:r>
      <w:r w:rsidRPr="00F229C3">
        <w:rPr>
          <w:rFonts w:cs="Calibri"/>
          <w:bCs/>
          <w:color w:val="404040"/>
          <w:sz w:val="22"/>
          <w:szCs w:val="22"/>
          <w:lang w:val="sk-SK"/>
        </w:rPr>
        <w:t xml:space="preserve"> (2014) a zamestnáva 10 000 osôb. Carrefour Rumunsko je druhým najväčším maloobchodným predajcom v Rumunsku.</w:t>
      </w:r>
    </w:p>
    <w:p w14:paraId="29510223" w14:textId="77777777" w:rsidR="008C3A37" w:rsidRDefault="008C3A37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14:paraId="23CBC8F7" w14:textId="77777777" w:rsidR="000A066F" w:rsidRPr="00C76C50" w:rsidRDefault="000A066F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C76C50">
        <w:rPr>
          <w:rFonts w:cs="Calibri"/>
          <w:b/>
          <w:bCs/>
          <w:color w:val="404040"/>
          <w:sz w:val="22"/>
          <w:szCs w:val="22"/>
          <w:lang w:val="sk-SK"/>
        </w:rPr>
        <w:t>KON</w:t>
      </w:r>
      <w:r w:rsidR="00F229C3">
        <w:rPr>
          <w:rFonts w:cs="Calibri"/>
          <w:b/>
          <w:bCs/>
          <w:color w:val="404040"/>
          <w:sz w:val="22"/>
          <w:szCs w:val="22"/>
          <w:lang w:val="sk-SK"/>
        </w:rPr>
        <w:t>I</w:t>
      </w:r>
      <w:r w:rsidRPr="00C76C50">
        <w:rPr>
          <w:rFonts w:cs="Calibri"/>
          <w:b/>
          <w:bCs/>
          <w:color w:val="404040"/>
          <w:sz w:val="22"/>
          <w:szCs w:val="22"/>
          <w:lang w:val="sk-SK"/>
        </w:rPr>
        <w:t>EC</w:t>
      </w:r>
    </w:p>
    <w:p w14:paraId="5BE973CF" w14:textId="77777777" w:rsidR="000A066F" w:rsidRPr="00C76C50" w:rsidRDefault="000A066F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14:paraId="260CC25D" w14:textId="77777777" w:rsidR="00AE50DF" w:rsidRPr="00351EAC" w:rsidRDefault="00AE50DF" w:rsidP="00AE50DF">
      <w:pPr>
        <w:rPr>
          <w:rFonts w:cs="Calibri"/>
          <w:b/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14:paraId="52892E6B" w14:textId="48E2195A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>P3 je vlastník, developer a správca európskych logistických nehnuteľností. Do portfólia P3 s rozsahom 3 mil. m</w:t>
      </w:r>
      <w:r w:rsidRPr="00351EAC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color w:val="404040"/>
          <w:sz w:val="22"/>
          <w:szCs w:val="22"/>
          <w:lang w:val="sk-SK"/>
        </w:rPr>
        <w:t xml:space="preserve"> v rámci 9 krajín aktuálne spadá 14</w:t>
      </w:r>
      <w:r w:rsidR="006A3562">
        <w:rPr>
          <w:rFonts w:cs="Calibri"/>
          <w:color w:val="404040"/>
          <w:sz w:val="22"/>
          <w:szCs w:val="22"/>
          <w:lang w:val="sk-SK"/>
        </w:rPr>
        <w:t>5</w:t>
      </w:r>
      <w:r w:rsidRPr="00351EAC">
        <w:rPr>
          <w:rFonts w:cs="Calibri"/>
          <w:color w:val="404040"/>
          <w:sz w:val="22"/>
          <w:szCs w:val="22"/>
          <w:lang w:val="sk-SK"/>
        </w:rPr>
        <w:t xml:space="preserve"> logistických nehnuteľností a spoločnosť ďalej disponuje pozemkami s rozlohou viac ako 1,3 mil. m</w:t>
      </w:r>
      <w:r w:rsidRPr="00351EAC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color w:val="404040"/>
          <w:sz w:val="22"/>
          <w:szCs w:val="22"/>
          <w:lang w:val="sk-SK"/>
        </w:rPr>
        <w:t>, ktoré sú určené pre ďalší rozvoj a výstavbu.</w:t>
      </w:r>
    </w:p>
    <w:p w14:paraId="73C6A765" w14:textId="77777777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14:paraId="2710B671" w14:textId="77777777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 xml:space="preserve">Na Slovensku spoločnosť P3 momentálne vlastní a spravuje 7 priemyselných nehnuteľností v 2 parkoch s prenajímateľnou plochou </w:t>
      </w:r>
      <w:r>
        <w:rPr>
          <w:rFonts w:cs="Calibri"/>
          <w:color w:val="404040"/>
          <w:sz w:val="22"/>
          <w:szCs w:val="22"/>
          <w:lang w:val="sk-SK"/>
        </w:rPr>
        <w:t>150 076 m²</w:t>
      </w:r>
      <w:r w:rsidRPr="00351EAC">
        <w:rPr>
          <w:rFonts w:cs="Calibri"/>
          <w:color w:val="404040"/>
          <w:sz w:val="22"/>
          <w:szCs w:val="22"/>
          <w:lang w:val="sk-SK"/>
        </w:rPr>
        <w:t xml:space="preserve"> a pozemky pre výstavbu ďalších takmer 75 000 m². Parky P3 Bratislava aj P3 Žilina majú v rámci krajiny strategickú polohu s vynikajúcim napojením na dôležité dopravné komunikácie a stále disponujú voľnou kapacitou pre ďalší development.</w:t>
      </w:r>
    </w:p>
    <w:p w14:paraId="4733E47E" w14:textId="77777777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14:paraId="2CD18EA4" w14:textId="77777777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>Spoločnosť P3 sa zameriava na poskytovanie prvotriednych služieb svojim klientom v perfektne situovaných, vysoko kvalitných budovách. Všetky nehnuteľnosti, ktoré P3 stavia, sú šetrné k životnému prostrediu a zodpovedajú najvyšším medzinárodným štandardom.</w:t>
      </w:r>
    </w:p>
    <w:p w14:paraId="7E59ED62" w14:textId="77777777" w:rsidR="00AE50DF" w:rsidRPr="00351EAC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14:paraId="5AF4D790" w14:textId="77777777" w:rsidR="00AE50DF" w:rsidRPr="00351EAC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351EAC">
        <w:rPr>
          <w:rFonts w:asciiTheme="minorHAnsi" w:hAnsiTheme="minorHAnsi" w:cs="Aharoni"/>
          <w:sz w:val="22"/>
          <w:szCs w:val="22"/>
          <w:lang w:bidi="he-IL"/>
        </w:rPr>
        <w:lastRenderedPageBreak/>
        <w:t xml:space="preserve">PointPark Properties zaviedol korporátne označenie „P3“ a používa obchodnú značku „P3 Logistic Parks“, ktorá lepšie vystihuje podnikanie spoločnosti. Viac informácii o P3 nájdete na webových stránkach </w:t>
      </w:r>
      <w:hyperlink r:id="rId8" w:history="1">
        <w:r w:rsidRPr="00351EAC">
          <w:rPr>
            <w:rStyle w:val="Hypertextovodkaz"/>
            <w:rFonts w:asciiTheme="minorHAnsi" w:hAnsiTheme="minorHAnsi" w:cs="Aharoni"/>
            <w:sz w:val="22"/>
            <w:szCs w:val="22"/>
            <w:lang w:bidi="he-IL"/>
          </w:rPr>
          <w:t>www.p3parks.com</w:t>
        </w:r>
      </w:hyperlink>
      <w:r w:rsidRPr="00351EAC">
        <w:rPr>
          <w:rFonts w:asciiTheme="minorHAnsi" w:hAnsiTheme="minorHAnsi"/>
          <w:sz w:val="22"/>
          <w:szCs w:val="22"/>
        </w:rPr>
        <w:t>.</w:t>
      </w:r>
    </w:p>
    <w:p w14:paraId="7DFE9F07" w14:textId="77777777" w:rsidR="00AE50DF" w:rsidRPr="00351EAC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2C27C914" w14:textId="77777777" w:rsidR="00AE50DF" w:rsidRPr="00351EAC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 w:cs="Aharoni"/>
          <w:sz w:val="22"/>
          <w:szCs w:val="22"/>
          <w:lang w:bidi="he-IL"/>
        </w:rPr>
      </w:pPr>
      <w:r>
        <w:rPr>
          <w:rFonts w:asciiTheme="minorHAnsi" w:hAnsiTheme="minorHAnsi" w:cs="Aharoni"/>
          <w:sz w:val="22"/>
          <w:szCs w:val="22"/>
          <w:lang w:bidi="he-IL"/>
        </w:rPr>
        <w:t xml:space="preserve">Vlastníkmi spoločnosti </w:t>
      </w:r>
      <w:r w:rsidRPr="00351EAC">
        <w:rPr>
          <w:rFonts w:asciiTheme="minorHAnsi" w:hAnsiTheme="minorHAnsi" w:cs="Aharoni"/>
          <w:sz w:val="22"/>
          <w:szCs w:val="22"/>
          <w:lang w:bidi="he-IL"/>
        </w:rPr>
        <w:t xml:space="preserve">P3 sú TPG Real Estate a Ivanhoé Cambridge. </w:t>
      </w:r>
    </w:p>
    <w:p w14:paraId="0D59CFB9" w14:textId="77777777" w:rsidR="00AE50DF" w:rsidRPr="00351EAC" w:rsidRDefault="00AE50DF" w:rsidP="00AE50DF">
      <w:pPr>
        <w:pStyle w:val="normaltext0"/>
        <w:jc w:val="both"/>
        <w:rPr>
          <w:rFonts w:asciiTheme="minorHAnsi" w:hAnsiTheme="minorHAnsi" w:cs="Aharoni"/>
          <w:sz w:val="22"/>
          <w:szCs w:val="22"/>
          <w:lang w:bidi="he-IL"/>
        </w:rPr>
      </w:pPr>
    </w:p>
    <w:p w14:paraId="49829C50" w14:textId="77777777" w:rsidR="00AE50DF" w:rsidRPr="00351EAC" w:rsidRDefault="00AE50DF" w:rsidP="00AE50DF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bCs/>
          <w:color w:val="404040"/>
          <w:sz w:val="22"/>
          <w:szCs w:val="22"/>
          <w:lang w:val="sk-SK"/>
        </w:rPr>
        <w:t xml:space="preserve">Pre ďalšie informácie sa prosím obráťte na: </w:t>
      </w:r>
    </w:p>
    <w:p w14:paraId="32B37411" w14:textId="77777777" w:rsidR="00AE50DF" w:rsidRPr="00351EAC" w:rsidRDefault="00AE50DF" w:rsidP="00AE50DF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14:paraId="29788333" w14:textId="77777777" w:rsidR="00AE50DF" w:rsidRPr="00351EAC" w:rsidRDefault="00AE50DF" w:rsidP="00AE50DF">
      <w:pPr>
        <w:rPr>
          <w:color w:val="404040"/>
          <w:sz w:val="22"/>
          <w:szCs w:val="22"/>
          <w:lang w:val="sk-SK"/>
        </w:rPr>
      </w:pPr>
      <w:r w:rsidRPr="00351EAC">
        <w:rPr>
          <w:b/>
          <w:color w:val="404040"/>
          <w:sz w:val="22"/>
          <w:szCs w:val="22"/>
          <w:lang w:val="sk-SK"/>
        </w:rPr>
        <w:t>Anna Palfiová</w:t>
      </w:r>
      <w:r w:rsidRPr="00351EAC">
        <w:rPr>
          <w:color w:val="404040"/>
          <w:sz w:val="22"/>
          <w:szCs w:val="22"/>
          <w:lang w:val="sk-SK"/>
        </w:rPr>
        <w:t>, Crest Communications, PR manager</w:t>
      </w:r>
    </w:p>
    <w:p w14:paraId="0F4DF8E6" w14:textId="77777777" w:rsidR="00AE50DF" w:rsidRPr="00351EAC" w:rsidRDefault="00AE50DF" w:rsidP="00AE50DF">
      <w:pPr>
        <w:rPr>
          <w:color w:val="404040"/>
          <w:sz w:val="22"/>
          <w:szCs w:val="22"/>
          <w:lang w:val="sk-SK"/>
        </w:rPr>
      </w:pPr>
      <w:r w:rsidRPr="00351EAC">
        <w:rPr>
          <w:color w:val="404040"/>
          <w:sz w:val="22"/>
          <w:szCs w:val="22"/>
          <w:lang w:val="sk-SK"/>
        </w:rPr>
        <w:t>Tel. +421 903 644 575</w:t>
      </w:r>
    </w:p>
    <w:p w14:paraId="3D5239F7" w14:textId="77777777" w:rsidR="00AE50DF" w:rsidRPr="00351EAC" w:rsidRDefault="00AE50DF" w:rsidP="00AE50DF">
      <w:pPr>
        <w:rPr>
          <w:rFonts w:cs="Calibri"/>
          <w:color w:val="313131"/>
          <w:sz w:val="22"/>
          <w:szCs w:val="22"/>
          <w:lang w:val="sk-SK"/>
        </w:rPr>
      </w:pPr>
      <w:r w:rsidRPr="00351EAC">
        <w:rPr>
          <w:color w:val="404040"/>
          <w:sz w:val="22"/>
          <w:szCs w:val="22"/>
          <w:lang w:val="sk-SK"/>
        </w:rPr>
        <w:t xml:space="preserve">E-mail: </w:t>
      </w:r>
      <w:r w:rsidRPr="00351EAC">
        <w:rPr>
          <w:i/>
          <w:color w:val="3366FF"/>
          <w:sz w:val="22"/>
          <w:szCs w:val="22"/>
          <w:u w:val="single"/>
          <w:lang w:val="sk-SK"/>
        </w:rPr>
        <w:t>anka.palfiova@gmail.com</w:t>
      </w:r>
    </w:p>
    <w:p w14:paraId="16868B3B" w14:textId="77777777" w:rsidR="00AE50DF" w:rsidRPr="00351EAC" w:rsidRDefault="00AE50DF" w:rsidP="00AE50DF">
      <w:pPr>
        <w:rPr>
          <w:rFonts w:cs="Calibri"/>
          <w:color w:val="313131"/>
          <w:sz w:val="22"/>
          <w:szCs w:val="22"/>
          <w:lang w:val="sk-SK"/>
        </w:rPr>
      </w:pPr>
    </w:p>
    <w:p w14:paraId="42980963" w14:textId="77777777" w:rsidR="000A066F" w:rsidRPr="00C76C50" w:rsidRDefault="000A066F" w:rsidP="000A066F">
      <w:pPr>
        <w:rPr>
          <w:b/>
          <w:color w:val="800000"/>
          <w:sz w:val="22"/>
          <w:szCs w:val="22"/>
          <w:lang w:val="sk-SK"/>
        </w:rPr>
      </w:pPr>
    </w:p>
    <w:sectPr w:rsidR="000A066F" w:rsidRPr="00C76C50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15296" w14:textId="77777777" w:rsidR="00315EC8" w:rsidRDefault="00315EC8">
      <w:r>
        <w:separator/>
      </w:r>
    </w:p>
    <w:p w14:paraId="346A26E0" w14:textId="77777777" w:rsidR="00315EC8" w:rsidRDefault="00315EC8"/>
  </w:endnote>
  <w:endnote w:type="continuationSeparator" w:id="0">
    <w:p w14:paraId="3B514626" w14:textId="77777777" w:rsidR="00315EC8" w:rsidRDefault="00315EC8">
      <w:r>
        <w:continuationSeparator/>
      </w:r>
    </w:p>
    <w:p w14:paraId="37FCF260" w14:textId="77777777" w:rsidR="00315EC8" w:rsidRDefault="0031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454212" w14:paraId="59238B2A" w14:textId="77777777" w:rsidTr="00776100">
      <w:tc>
        <w:tcPr>
          <w:tcW w:w="2665" w:type="dxa"/>
          <w:vAlign w:val="bottom"/>
        </w:tcPr>
        <w:p w14:paraId="7C5CA199" w14:textId="77777777" w:rsidR="00165F2F" w:rsidRDefault="00165F2F" w:rsidP="00165F2F">
          <w:pPr>
            <w:pStyle w:val="Zpat"/>
          </w:pPr>
          <w:r>
            <w:t>Tel.: +421 220 869 000</w:t>
          </w:r>
        </w:p>
        <w:p w14:paraId="08B05E93" w14:textId="77777777" w:rsidR="00165F2F" w:rsidRDefault="00165F2F" w:rsidP="00165F2F">
          <w:pPr>
            <w:pStyle w:val="Zpat"/>
          </w:pPr>
          <w:r>
            <w:t>Fax: +421 220 869 009</w:t>
          </w:r>
        </w:p>
        <w:p w14:paraId="7128E7C5" w14:textId="77777777" w:rsidR="00373099" w:rsidRDefault="00165F2F" w:rsidP="00165F2F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9505D83" w14:textId="77777777"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PointPark</w:t>
          </w:r>
          <w:proofErr w:type="spellEnd"/>
          <w:r w:rsidRPr="00165F2F">
            <w:rPr>
              <w:lang w:val="en-US"/>
            </w:rPr>
            <w:t xml:space="preserve"> Properties SK </w:t>
          </w:r>
          <w:proofErr w:type="spellStart"/>
          <w:r w:rsidRPr="00165F2F">
            <w:rPr>
              <w:lang w:val="en-US"/>
            </w:rPr>
            <w:t>s.r.o</w:t>
          </w:r>
          <w:proofErr w:type="spellEnd"/>
          <w:r w:rsidRPr="00165F2F">
            <w:rPr>
              <w:lang w:val="en-US"/>
            </w:rPr>
            <w:t xml:space="preserve">. </w:t>
          </w:r>
        </w:p>
        <w:p w14:paraId="2B2048A0" w14:textId="77777777"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Hodžovo</w:t>
          </w:r>
          <w:proofErr w:type="spellEnd"/>
          <w:r w:rsidRPr="00165F2F">
            <w:rPr>
              <w:lang w:val="en-US"/>
            </w:rPr>
            <w:t xml:space="preserve"> </w:t>
          </w:r>
          <w:proofErr w:type="spellStart"/>
          <w:r w:rsidRPr="00165F2F">
            <w:rPr>
              <w:lang w:val="en-US"/>
            </w:rPr>
            <w:t>namestie</w:t>
          </w:r>
          <w:proofErr w:type="spellEnd"/>
          <w:r w:rsidRPr="00165F2F">
            <w:rPr>
              <w:lang w:val="en-US"/>
            </w:rPr>
            <w:t xml:space="preserve"> 1/A</w:t>
          </w:r>
        </w:p>
        <w:p w14:paraId="108EFA65" w14:textId="77777777" w:rsidR="00373099" w:rsidRDefault="00165F2F" w:rsidP="00165F2F">
          <w:pPr>
            <w:pStyle w:val="Zpat"/>
          </w:pPr>
          <w:r w:rsidRPr="00165F2F">
            <w:rPr>
              <w:lang w:val="en-US"/>
            </w:rPr>
            <w:t>811 06 Bratislava, Slovakia</w:t>
          </w:r>
        </w:p>
      </w:tc>
      <w:tc>
        <w:tcPr>
          <w:tcW w:w="2211" w:type="dxa"/>
          <w:vAlign w:val="bottom"/>
        </w:tcPr>
        <w:p w14:paraId="5828A71E" w14:textId="77777777" w:rsidR="00373099" w:rsidRDefault="00165F2F" w:rsidP="00165F2F">
          <w:pPr>
            <w:pStyle w:val="Zpat"/>
          </w:pPr>
          <w:r>
            <w:t>VAT No.: SK2022534217</w:t>
          </w:r>
        </w:p>
      </w:tc>
      <w:tc>
        <w:tcPr>
          <w:tcW w:w="1644" w:type="dxa"/>
          <w:vAlign w:val="bottom"/>
        </w:tcPr>
        <w:p w14:paraId="2AA00D1B" w14:textId="77777777"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39EB99A" w14:textId="77777777"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45F3E4D" wp14:editId="54E5CB17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ADDFB" w14:textId="77777777" w:rsidR="00315EC8" w:rsidRDefault="00315EC8">
      <w:r>
        <w:separator/>
      </w:r>
    </w:p>
    <w:p w14:paraId="10E2E770" w14:textId="77777777" w:rsidR="00315EC8" w:rsidRDefault="00315EC8"/>
  </w:footnote>
  <w:footnote w:type="continuationSeparator" w:id="0">
    <w:p w14:paraId="76CC31F1" w14:textId="77777777" w:rsidR="00315EC8" w:rsidRDefault="00315EC8">
      <w:r>
        <w:continuationSeparator/>
      </w:r>
    </w:p>
    <w:p w14:paraId="12A4E044" w14:textId="77777777" w:rsidR="00315EC8" w:rsidRDefault="00315E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4D839" w14:textId="77777777"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A2E249" wp14:editId="7ECFC9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C32"/>
    <w:rsid w:val="00022D29"/>
    <w:rsid w:val="00024C5D"/>
    <w:rsid w:val="00026A19"/>
    <w:rsid w:val="00030924"/>
    <w:rsid w:val="00030C9E"/>
    <w:rsid w:val="00032CEE"/>
    <w:rsid w:val="00035D66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45B2"/>
    <w:rsid w:val="00075F70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70"/>
    <w:rsid w:val="00094C4E"/>
    <w:rsid w:val="000A066F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50A4"/>
    <w:rsid w:val="000E7152"/>
    <w:rsid w:val="000E734F"/>
    <w:rsid w:val="00101658"/>
    <w:rsid w:val="00101725"/>
    <w:rsid w:val="00101F57"/>
    <w:rsid w:val="00102A38"/>
    <w:rsid w:val="00103826"/>
    <w:rsid w:val="00104C1C"/>
    <w:rsid w:val="00104FFB"/>
    <w:rsid w:val="0011134F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0530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5F2F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200441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4CA1"/>
    <w:rsid w:val="00225630"/>
    <w:rsid w:val="00225A0C"/>
    <w:rsid w:val="0022778A"/>
    <w:rsid w:val="00233C6E"/>
    <w:rsid w:val="00234A1F"/>
    <w:rsid w:val="00235DF7"/>
    <w:rsid w:val="00235FB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014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54C"/>
    <w:rsid w:val="002C2B67"/>
    <w:rsid w:val="002C31C8"/>
    <w:rsid w:val="002C3F46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1B9F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EC8"/>
    <w:rsid w:val="00316B16"/>
    <w:rsid w:val="00322BF5"/>
    <w:rsid w:val="003236A8"/>
    <w:rsid w:val="0032456D"/>
    <w:rsid w:val="00324A1D"/>
    <w:rsid w:val="003257B6"/>
    <w:rsid w:val="00327779"/>
    <w:rsid w:val="003304DC"/>
    <w:rsid w:val="00330C9E"/>
    <w:rsid w:val="0033313E"/>
    <w:rsid w:val="0033449A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DFB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1EB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1917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6D13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63C8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97ABE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1D9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3BE1"/>
    <w:rsid w:val="00684938"/>
    <w:rsid w:val="00685104"/>
    <w:rsid w:val="00686178"/>
    <w:rsid w:val="00690582"/>
    <w:rsid w:val="00692E77"/>
    <w:rsid w:val="0069657B"/>
    <w:rsid w:val="00696F4A"/>
    <w:rsid w:val="006A109E"/>
    <w:rsid w:val="006A12E7"/>
    <w:rsid w:val="006A184A"/>
    <w:rsid w:val="006A1ABC"/>
    <w:rsid w:val="006A3562"/>
    <w:rsid w:val="006A6A00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740A"/>
    <w:rsid w:val="00740132"/>
    <w:rsid w:val="00742C49"/>
    <w:rsid w:val="00745477"/>
    <w:rsid w:val="00746980"/>
    <w:rsid w:val="00750300"/>
    <w:rsid w:val="0075294A"/>
    <w:rsid w:val="0075299F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862E8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21C"/>
    <w:rsid w:val="008C3A37"/>
    <w:rsid w:val="008C3D4B"/>
    <w:rsid w:val="008C5188"/>
    <w:rsid w:val="008C6D23"/>
    <w:rsid w:val="008D00A1"/>
    <w:rsid w:val="008D051D"/>
    <w:rsid w:val="008D0DCB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172CA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4DD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3A4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3FFE"/>
    <w:rsid w:val="00A8606B"/>
    <w:rsid w:val="00A905B1"/>
    <w:rsid w:val="00A90BB0"/>
    <w:rsid w:val="00A92B76"/>
    <w:rsid w:val="00A92FFE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0D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0DF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1F9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190B"/>
    <w:rsid w:val="00C40B81"/>
    <w:rsid w:val="00C40E4B"/>
    <w:rsid w:val="00C41F93"/>
    <w:rsid w:val="00C42996"/>
    <w:rsid w:val="00C43F0B"/>
    <w:rsid w:val="00C4625C"/>
    <w:rsid w:val="00C53297"/>
    <w:rsid w:val="00C54702"/>
    <w:rsid w:val="00C56156"/>
    <w:rsid w:val="00C5624B"/>
    <w:rsid w:val="00C602AF"/>
    <w:rsid w:val="00C62007"/>
    <w:rsid w:val="00C6292D"/>
    <w:rsid w:val="00C63E18"/>
    <w:rsid w:val="00C65B37"/>
    <w:rsid w:val="00C663BF"/>
    <w:rsid w:val="00C70A6A"/>
    <w:rsid w:val="00C713F4"/>
    <w:rsid w:val="00C73F97"/>
    <w:rsid w:val="00C764C6"/>
    <w:rsid w:val="00C76C50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39B"/>
    <w:rsid w:val="00CB0506"/>
    <w:rsid w:val="00CB165A"/>
    <w:rsid w:val="00CB1F1F"/>
    <w:rsid w:val="00CB3FB6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4E1B"/>
    <w:rsid w:val="00CD65FD"/>
    <w:rsid w:val="00CE2C71"/>
    <w:rsid w:val="00CE3FAB"/>
    <w:rsid w:val="00CE6063"/>
    <w:rsid w:val="00CE66A9"/>
    <w:rsid w:val="00CE6CE8"/>
    <w:rsid w:val="00CE7C72"/>
    <w:rsid w:val="00CE7E54"/>
    <w:rsid w:val="00CF21B0"/>
    <w:rsid w:val="00CF657C"/>
    <w:rsid w:val="00CF7C74"/>
    <w:rsid w:val="00D03B89"/>
    <w:rsid w:val="00D04119"/>
    <w:rsid w:val="00D043A0"/>
    <w:rsid w:val="00D04E51"/>
    <w:rsid w:val="00D062AE"/>
    <w:rsid w:val="00D063F0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5049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3872"/>
    <w:rsid w:val="00D73D79"/>
    <w:rsid w:val="00D74090"/>
    <w:rsid w:val="00D740F2"/>
    <w:rsid w:val="00D7608A"/>
    <w:rsid w:val="00D76439"/>
    <w:rsid w:val="00D76A7D"/>
    <w:rsid w:val="00D80F48"/>
    <w:rsid w:val="00D84471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D7796"/>
    <w:rsid w:val="00DE2459"/>
    <w:rsid w:val="00DE304D"/>
    <w:rsid w:val="00DE4C47"/>
    <w:rsid w:val="00DE63C8"/>
    <w:rsid w:val="00DE7473"/>
    <w:rsid w:val="00DF50E4"/>
    <w:rsid w:val="00DF554A"/>
    <w:rsid w:val="00DF56A3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3795"/>
    <w:rsid w:val="00E4431F"/>
    <w:rsid w:val="00E453D3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14B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1DED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32BF"/>
    <w:rsid w:val="00EC4F53"/>
    <w:rsid w:val="00EC53DB"/>
    <w:rsid w:val="00EC6935"/>
    <w:rsid w:val="00ED525C"/>
    <w:rsid w:val="00ED59D4"/>
    <w:rsid w:val="00ED6A08"/>
    <w:rsid w:val="00ED75F3"/>
    <w:rsid w:val="00ED7609"/>
    <w:rsid w:val="00EE0B68"/>
    <w:rsid w:val="00EE369C"/>
    <w:rsid w:val="00EE38E2"/>
    <w:rsid w:val="00EE3AEC"/>
    <w:rsid w:val="00EE3E98"/>
    <w:rsid w:val="00EE5074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29C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E7FF8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621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normaltext0">
    <w:name w:val="normal text"/>
    <w:basedOn w:val="Normln"/>
    <w:autoRedefine/>
    <w:rsid w:val="005D61D9"/>
    <w:pPr>
      <w:tabs>
        <w:tab w:val="left" w:pos="1134"/>
      </w:tabs>
      <w:suppressAutoHyphens w:val="0"/>
      <w:jc w:val="left"/>
    </w:pPr>
    <w:rPr>
      <w:rFonts w:ascii="Dobra Book" w:hAnsi="Dobra Book"/>
      <w:color w:val="333333"/>
      <w:sz w:val="20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D8A9-4AFD-43C3-8D23-2D4A92C8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2015-11-18T08:26:00Z</dcterms:created>
  <dcterms:modified xsi:type="dcterms:W3CDTF">2015-11-18T09:30:00Z</dcterms:modified>
</cp:coreProperties>
</file>